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#13: Free Tools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59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Free downloadable tools for managing and preserving digital assets.</w:t>
      </w:r>
    </w:p>
    <w:p w:rsidR="00000000" w:rsidDel="00000000" w:rsidP="00000000" w:rsidRDefault="00000000" w:rsidRPr="00000000">
      <w:pPr>
        <w:widowControl w:val="1"/>
        <w:spacing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MediaInfo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convenient unified display of the most relevant technical and tag data for video and audio files.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http://mediaarea.net/en/MediaInfo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VLC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free and open source cross-platform multimedia player and framework that plays most multimedia files as well as DVDs, Audio CDs, VCDs, and various streaming protocols.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http://www.videolan.org/vlc/index.html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FFMpeg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multimedia framework, able to decode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encode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transcode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mux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demux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stream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filter and play many formats.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https://www.ffmpeg.org/about.html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ExifTool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platform-independent Perl library plus a command-line application for reading, writing and editing meta information in a wide variety of files.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http://www.sno.phy.queensu.ca/~phil/exiftool/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Hashdeep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program to compute, match, and audit hashsets.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http://md5deep.sourceforge.net/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Better File Renamer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file renaming utility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http://www.publicspace.net/ABetterFinderRename/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IsoBuster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Data recovery software; can recover data from some unreadable discs and drives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http://www.isobuster.com/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60"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Glossary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checksum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( </w:t>
      </w:r>
      <w:r w:rsidDel="00000000" w:rsidR="00000000" w:rsidRPr="00000000">
        <w:rPr>
          <w:rFonts w:ascii="Calibri" w:cs="Calibri" w:eastAsia="Calibri" w:hAnsi="Calibri"/>
          <w:color w:val="252525"/>
          <w:highlight w:val="white"/>
          <w:rtl w:val="0"/>
        </w:rPr>
        <w:t xml:space="preserve">or hash sum or hash value) is a unique code (the digital “fingerprint”) created from running an algorithm off of data.  Since alterations to data will change the code, it’s used for the purp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ose of</w:t>
      </w:r>
      <w:hyperlink r:id="rId12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 detecting errors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which may have been introduced during its</w:t>
      </w:r>
      <w:hyperlink r:id="rId13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 transmission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or</w:t>
      </w:r>
      <w:hyperlink r:id="rId14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 storage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metadata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“data about data,” which can be used to describe either content, or technical and structural aspects of the way the content is held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fixity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the property of a digital file being fixed, or unchanged. Fixity checking is the process of verifying that a digital object has not been altered or corrupted, often with use of checksums.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migration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transferring data to a new format or carrier to ensure content preservation and accessibility.  This process can introduce data loss.</w:t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obuster.com/" TargetMode="External"/><Relationship Id="rId10" Type="http://schemas.openxmlformats.org/officeDocument/2006/relationships/hyperlink" Target="http://www.publicspace.net/ABetterFinderRename/" TargetMode="External"/><Relationship Id="rId13" Type="http://schemas.openxmlformats.org/officeDocument/2006/relationships/hyperlink" Target="http://en.wikipedia.org/wiki/Telecommunication" TargetMode="External"/><Relationship Id="rId12" Type="http://schemas.openxmlformats.org/officeDocument/2006/relationships/hyperlink" Target="http://en.wikipedia.org/wiki/Error_detectio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d5deep.sourceforge.net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en.wikipedia.org/wiki/Computer_storage" TargetMode="External"/><Relationship Id="rId5" Type="http://schemas.openxmlformats.org/officeDocument/2006/relationships/hyperlink" Target="http://mediaarea.net/en/MediaInfo" TargetMode="External"/><Relationship Id="rId6" Type="http://schemas.openxmlformats.org/officeDocument/2006/relationships/hyperlink" Target="http://www.videolan.org/vlc/index.html" TargetMode="External"/><Relationship Id="rId7" Type="http://schemas.openxmlformats.org/officeDocument/2006/relationships/hyperlink" Target="https://www.ffmpeg.org/about.html" TargetMode="External"/><Relationship Id="rId8" Type="http://schemas.openxmlformats.org/officeDocument/2006/relationships/hyperlink" Target="http://www.sno.phy.queensu.ca/~phil/exiftoo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